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運智國際科技股份有限公司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wp:extent cx="1428750" cy="1381125"/>
                  <wp:effectExtent l="0" t="0" r="0" b="0"/>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8f463014e9a14f96"/>
                          <a:stretch>
                            <a:fillRect/>
                          </a:stretch>
                        </pic:blipFill>
                        <pic:spPr>
                          <a:xfrm>
                            <a:off x="0" y="0"/>
                            <a:ext cx="1428750" cy="13811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2022-03-18</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
            <w:r>
              <w:rPr>
                <w:rFonts w:eastAsia="標楷體" w:hint="eastAsia"/>
              </w:rPr>
              <w:t>☑公司</w:t>
            </w:r>
            <w:r w:rsidR="00FD6F4B">
              <w:rPr>
                <w:rFonts w:eastAsia="標楷體" w:hint="eastAsia"/>
              </w:rPr>
              <w:t xml:space="preserve">  </w:t>
            </w:r>
            <w:r>
              <w:rPr>
                <w:rFonts w:eastAsia="標楷體" w:hint="eastAsia"/>
              </w:rPr>
              <w:t>{</w:t>
            </w:r>
            <w:sdt>
              <w:sdtPr>
                <w:rPr>
                  <w:rFonts w:eastAsia="標楷體"/>
                </w:rPr>
                <w:id w:val="-381091461"/>
              </w:sdtPr>
              <w:sdtContent>
                <w:r w:rsidR="001E1861" w:rsidRPr="00F876F5">
                  <w:rPr>
                    <w:rFonts w:ascii="Segoe UI Symbol" w:eastAsia="標楷體" w:hAnsi="Segoe UI Symbol" w:cs="Segoe UI Symbol"/>
                  </w:rPr>
                  <w:t>☐</w:t>
                </w:r>
              </w:sdtContent>
            </w:sdt>
            <w:r w:rsidR="00FD6F4B">
              <w:rPr>
                <w:rFonts w:eastAsia="標楷體" w:hint="eastAsia"/>
              </w:rPr>
              <w:t>獨資</w:t>
            </w:r>
            <w:r>
              <w:rPr>
                <w:rFonts w:eastAsia="標楷體" w:hint="eastAsia"/>
              </w:rPr>
              <w:t>}</w:t>
            </w:r>
            <w:r w:rsidR="001E1861" w:rsidRPr="00F876F5">
              <w:rPr>
                <w:rFonts w:eastAsia="標楷體"/>
              </w:rPr>
              <w:t xml:space="preserve">  </w:t>
            </w:r>
            <w:sdt>
              <w:sdtPr>
                <w:rPr>
                  <w:rFonts w:eastAsia="標楷體"/>
                </w:rPr>
                <w:id w:val="2089887422"/>
              </w:sdtPr>
            </w:sdt>
            <w:r>
              <w:rPr>
                <w:rFonts w:eastAsia="標楷體" w:hint="eastAsia"/>
              </w:rPr>
              <w:t>☐合夥</w:t>
            </w:r>
            <w:r w:rsidR="00FD6F4B">
              <w:rPr>
                <w:rFonts w:eastAsia="標楷體" w:hint="eastAsia"/>
              </w:rPr>
              <w:t xml:space="preserve">  </w:t>
            </w:r>
            <w:sdt>
              <w:sdtPr>
                <w:rPr>
                  <w:rFonts w:eastAsia="標楷體"/>
                </w:rPr>
                <w:id w:val="674920265"/>
              </w:sdtPr>
            </w:sdt>
            <w:r>
              <w:rPr>
                <w:rFonts w:eastAsia="標楷體" w:hint="eastAsia"/>
              </w:rPr>
              <w:t>☐有限合夥</w:t>
            </w:r>
            <w:r w:rsidR="001E1861" w:rsidRPr="00F876F5">
              <w:rPr>
                <w:rFonts w:eastAsia="標楷體"/>
              </w:rPr>
              <w:t xml:space="preserve">  </w:t>
            </w:r>
            <w:sdt>
              <w:sdtPr>
                <w:rPr>
                  <w:rFonts w:eastAsia="標楷體"/>
                </w:rPr>
                <w:id w:val="282382475"/>
              </w:sdtPr>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
            <w:r>
              <w:rPr>
                <w:rFonts w:eastAsia="標楷體" w:hint="eastAsia"/>
              </w:rPr>
              <w:t>☐社團法人</w:t>
            </w:r>
            <w:r w:rsidR="001E1689">
              <w:rPr>
                <w:rFonts w:eastAsia="標楷體" w:hint="eastAsia"/>
              </w:rPr>
              <w:t xml:space="preserve"> </w:t>
            </w:r>
            <w:sdt>
              <w:sdtPr>
                <w:rPr>
                  <w:rFonts w:eastAsia="標楷體"/>
                </w:rPr>
                <w:id w:val="1519044187"/>
              </w:sdtPr>
            </w:sdt>
            <w:r>
              <w:rPr>
                <w:rFonts w:eastAsia="標楷體" w:hint="eastAsia"/>
              </w:rPr>
              <w:t>☐財團法人</w:t>
            </w:r>
            <w:r w:rsidR="001E1861" w:rsidRPr="00F876F5">
              <w:rPr>
                <w:rFonts w:eastAsia="標楷體"/>
              </w:rPr>
              <w:t xml:space="preserve">  </w:t>
            </w:r>
            <w:sdt>
              <w:sdtPr>
                <w:rPr>
                  <w:rFonts w:eastAsia="標楷體"/>
                </w:rPr>
                <w:id w:val="34784940"/>
              </w:sdtPr>
            </w:sdt>
            <w:r>
              <w:rPr>
                <w:rFonts w:eastAsia="標楷體" w:hint="eastAsia"/>
              </w:rPr>
              <w:t>☐合作社</w:t>
            </w:r>
            <w:r w:rsidR="001E1861" w:rsidRPr="00F876F5">
              <w:rPr>
                <w:rFonts w:eastAsia="標楷體"/>
              </w:rPr>
              <w:t xml:space="preserve">  </w:t>
            </w:r>
            <w:sdt>
              <w:sdtPr>
                <w:rPr>
                  <w:rFonts w:eastAsia="標楷體"/>
                </w:rPr>
                <w:id w:val="-338008055"/>
              </w:sdtPr>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
            <w:r>
              <w:rPr>
                <w:rFonts w:eastAsia="標楷體" w:hint="eastAsia"/>
              </w:rPr>
              <w:t>☐農會</w:t>
            </w:r>
            <w:r w:rsidR="00FA12DB">
              <w:rPr>
                <w:rFonts w:eastAsia="標楷體" w:hint="eastAsia"/>
              </w:rPr>
              <w:t xml:space="preserve">  </w:t>
            </w:r>
            <w:sdt>
              <w:sdtPr>
                <w:rPr>
                  <w:rFonts w:eastAsia="標楷體"/>
                </w:rPr>
                <w:id w:val="68552332"/>
              </w:sdtPr>
            </w:sdt>
            <w:r>
              <w:rPr>
                <w:rFonts w:eastAsia="標楷體" w:hint="eastAsia"/>
              </w:rPr>
              <w:t>☐漁會</w:t>
            </w:r>
            <w:r w:rsidR="001E1689">
              <w:rPr>
                <w:rFonts w:eastAsia="標楷體" w:hint="eastAsia"/>
              </w:rPr>
              <w:t xml:space="preserve"> </w:t>
            </w:r>
            <w:sdt>
              <w:sdtPr>
                <w:rPr>
                  <w:rFonts w:eastAsia="標楷體"/>
                </w:rPr>
                <w:id w:val="-770694679"/>
              </w:sdtPr>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唐亷智</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89146354</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michelle@ensage.tw</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0921334602</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90215684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29,200,400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臺北市指南路二段64號政大研究暨創新育成總中心350403室</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在2023年，台灣的小客車銷售量達到478,137輛，相比2022年增長了11.4% ，我們的環境正面臨著越來越擁擠、更多廢氣排放的問題。騎自行車作為一種零排放的出行方式，不僅減少了對化石燃料的依賴，還有效降低了溫室氣體排放，這對緩解全球變暖具有重要意義。</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ensage推動自行車運動，透過科技平台促進車友與補給車司機體系的媒合，藉由團隊一起共乘出行的概念，大幅減少汽車的使用量。</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舉例來說，一場2023時代騎輪節的自行車活動，有來自全台灣6000位車友的參加，我們推廣車友團體搭乘補給車前往，以取代自行駕駛汽車前往台中， 除了能大幅減輕空氣污染和環境破壞，還有助於減輕城市交通擁堵，提高交通系統的效率，進一步降低能源消耗。</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ensage旨在通過推廣自行車運動和使用，減少對化石燃料的依賴，從而降低溫室氣體排放並促進空氣質量的改善。同時，ensage認知到運動產業需要從多元的管道及有更多夥伴加入推廣來擴大影響力，因此將以工程技術串聯單車產業供應商、政府、非政府組織、運動企業和社區夥伴建立合作夥伴關係，共同推動自行車運動的普及和可持續發展目標的實現。透過這些夥伴關係，我們將分享資源、知識和最佳實踐，以創造更大的影響力。</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台灣在單車產業與旅遊發展上擁有獨特優勢，近年在政府積極推動下，建置綿密的單車道路網，讓國際的單車愛好者選擇來臺灣單車環島騎旅，或是參加單車武嶺挑戰賽事。ensage全球單車運旅平台於現階段便是專注在解決單車服務供應商、旅程主辦、旅程團員所遇到的痛點，而這些解決方案主要基於ensage團隊超過6年的研究與用戶體驗設計，並且於2023年入選桃園運動科技加速計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現階段台灣單車騎旅以及賽事資訊碎片化。補給車服務、住宿、維修等等，特別是服務資訊與品質評價以及與安全風險相關的服務，未能有一個統整性的平台，來媒合單車服務供應商，以及單車愛好者。觀察到這樣的痛點，ensage打造騎旅管理、騎乘安全、專業教練、體驗社交等功能，讓國際車友都能透過ensage功能選擇合適的服務供應商，並為用戶留下難忘的騎行體驗記錄。未來ensage的用戶與供應商數據資料將為生態系及商業模式擴充，提供明確的方向指引，也是擴展ensage到更多運旅項目的立足點。</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ensage運用互聯網軟體技術能力，整合補給車、旅行社資源、並延伸串接在地資源，如車店、嚮導地陪、攝影師，提供專業服務，未來與單車周邊商品，垂直整合形成運動旅遊生態圈。</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ensage公司創辦人為一群科技公司高階主管，因為喜愛單車運動而聚在一起，在參加過各類單車活動、競賽項目之後，深感許多碎片化的運動資訊與週邊資源整合不易，往往需要花許多時間，或是透過朋友推薦，一一拼湊，才能有限度滿足騎乘旅途中的各項體驗，此也讓我們在單車運動推廣上產生困難。</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自行車作為一種低衝擊、高效益的有氧運動，對改善心血管健康、降低慢性疾病風險、以及促進心理健康均有重大貢獻，在國內外推廣上，更能帶動且提升台灣觀光效益。因此ensage希望與服務供應商持續共享，利用科技專業持續創新，以不斷進化的服務品質及效率，為台灣吸引更多國內外車友，享受美麗、便利的自行車之島。</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ensage成立至今兩年，持續在建置功能系統網站，從2024年起將正式營運，因此無實際執行成果。但過去一年也有小規模測試，已辦理超過20場的自行車騎旅，累計超過800人次的參與。</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2024年ensage也相當榮幸入選【桃園運動科技新創加速計畫】，除了對新創友善的課程以及與導師互動的機會外，更感謝此次計畫促成ensage向桃園市政府提案在地自行車旅遊推廣的契機，未來ensage將繼續努力發展「國際級運動 X 觀光經濟」，攜手政府機構深厚的觀光以及體育資源為世界創造更多健康、樂活的影響力。</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ensage致力於提升運動與健康意識、推廣運動文化、支持運動社區的發展，儘管自行車騎乘或單車旅遊活動，已慢慢成為台灣國人的運動生活趨勢，但如何吸引更多國際車友來台騎車旅遊，如何將騎旅活動國際化，卻還是需要長期推廣與宣傳。同時，期許在單車運動的活動中落實ESG企業綠色騎乘減碳計畫，透過騎車里程數的計算，讓每位車友都能紀錄每天的減碳量，達到環境能源永續的使命。</w:t>
            </w:r>
            <w:r>
              <w:rPr>
                <w:rFonts w:eastAsia="標楷體" w:hint="eastAsia"/>
                <w:color w:val="808080" w:themeColor="background1" w:themeShade="80"/>
                <w:szCs w:val="20"/>
              </w:rPr>
              <w:br/>
            </w:r>
            <w:r>
              <w:rPr>
                <w:rFonts w:eastAsia="標楷體" w:hint="eastAsia"/>
                <w:color w:val="808080" w:themeColor="background1" w:themeShade="80"/>
                <w:szCs w:val="20"/>
              </w:rPr>
              <w:t>為實現可持續發展目標並作出積極貢獻。我們致力於：</w:t>
            </w:r>
            <w:r>
              <w:rPr>
                <w:rFonts w:eastAsia="標楷體" w:hint="eastAsia"/>
                <w:color w:val="808080" w:themeColor="background1" w:themeShade="80"/>
                <w:szCs w:val="20"/>
              </w:rPr>
              <w:br/>
            </w:r>
            <w:r>
              <w:rPr>
                <w:rFonts w:eastAsia="標楷體" w:hint="eastAsia"/>
                <w:color w:val="808080" w:themeColor="background1" w:themeShade="80"/>
                <w:szCs w:val="20"/>
              </w:rPr>
              <w:t>1.增進健康與福祉（SDG3）：我們鼓勵員工、客戶和社區成員通過自行車運動來提升身體健康和心理福祉。自行車作為一種低衝擊、高效益的有氧運動，對改善心血管健康、降低慢性疾病風險、以及促進心理健康均有重大貢獻。我們提供必要的資源和支持，包括協助推廣自行車道的騎乘、舉辦健康騎行活動，以及提供運動與健康相關教育，設計自行車采風課程與企業員旅團建方案，以幫助實現這一目標。</w:t>
            </w:r>
            <w:r>
              <w:rPr>
                <w:rFonts w:eastAsia="標楷體" w:hint="eastAsia"/>
                <w:color w:val="808080" w:themeColor="background1" w:themeShade="80"/>
                <w:szCs w:val="20"/>
              </w:rPr>
              <w:br/>
            </w:r>
            <w:r>
              <w:rPr>
                <w:rFonts w:eastAsia="標楷體" w:hint="eastAsia"/>
                <w:color w:val="808080" w:themeColor="background1" w:themeShade="80"/>
                <w:szCs w:val="20"/>
              </w:rPr>
              <w:t>2.促進可持續能源（SDG7）：自行車作為一種零排放的交通方式，直接響應了可持續能源的呼籲。通過推廣自行車運動和使用，我們旨在減少對化石燃料的依賴，從而降低溫室氣體排放並促進空氣質量的改善。我們將在單車運動的活動中落實ESG企業綠色騎乘減碳計畫，透過騎車里程數的計算，讓每位車友都能紀錄每天的減碳量，達到環境能源永續的使命。</w:t>
            </w:r>
            <w:r>
              <w:rPr>
                <w:rFonts w:eastAsia="標楷體" w:hint="eastAsia"/>
                <w:color w:val="808080" w:themeColor="background1" w:themeShade="80"/>
                <w:szCs w:val="20"/>
              </w:rPr>
              <w:br/>
            </w:r>
            <w:r>
              <w:rPr>
                <w:rFonts w:eastAsia="標楷體" w:hint="eastAsia"/>
                <w:color w:val="808080" w:themeColor="background1" w:themeShade="80"/>
                <w:szCs w:val="20"/>
              </w:rPr>
              <w:t>3.建立夥伴關係實現目標（SDG17）：認知到運動產業需要從多元的管道及有更多夥伴加入推廣來擴大影響力，我們將以工程技術串聯單車產業供應商、政府、非政府組織、運動企業和社區夥伴建立合作夥伴關係，共同推動自行車運動的普及和可持續發展目標的實現。透過這些夥伴關係，我們將分享資源、知識和最佳實踐，以創造更大的影響力。</w:t>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20</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40</w:t>
            </w:r>
            <w:r>
              <w:rPr>
                <w:rFonts w:eastAsia="標楷體" w:hint="eastAsia"/>
                <w:color w:val="808080" w:themeColor="background1" w:themeShade="80"/>
                <w:szCs w:val="20"/>
              </w:rPr>
              <w:t>%。</w:t>
            </w:r>
          </w:p>
          <w:p w:rsidR="001722D9" w:rsidRPr="00F876F5" w:rsidRDefault="006C4376" w:rsidP="002B15BF">
            <w:pPr>
              <w:spacing w:line="0" w:lineRule="atLeast"/>
              <w:ind w:left="28" w:right="28"/>
              <w:jc w:val="both"/>
              <w:rPr>
                <w:rFonts w:eastAsia="標楷體"/>
                <w:color w:val="808080" w:themeColor="background1" w:themeShade="80"/>
                <w:szCs w:val="20"/>
              </w:rPr>
            </w:pPr>
            <w:proofErr w:type="spellStart"/>
            <w:proofErr w:type="spellEnd"/>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9a107f6f-0138-40f9-b895-e64ee564cf76.jpeg" Id="R8f463014e9a14f96"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